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EB4" w:rsidRDefault="00F65C2E">
      <w:pPr>
        <w:pStyle w:val="Heading2"/>
        <w:spacing w:before="0" w:line="276" w:lineRule="auto"/>
      </w:pPr>
      <w:bookmarkStart w:id="0" w:name="_p05ygk62p44h" w:colFirst="0" w:colLast="0"/>
      <w:bookmarkEnd w:id="0"/>
      <w:r>
        <w:t>C4. Maintain Consistency toolkit</w:t>
      </w:r>
    </w:p>
    <w:p w:rsidR="00BB6EB4" w:rsidRDefault="00F65C2E">
      <w:pPr>
        <w:spacing w:after="100"/>
        <w:jc w:val="both"/>
      </w:pPr>
      <w:r>
        <w:t>Consistency is the multiplier that turns routines into culture. Once expectations are introduced, they only take root if they are reinforced, monitored, and practised until they become habits. Leaders can’t assume that a routine shown once will embed itsel</w:t>
      </w:r>
      <w:r>
        <w:t>f. Maintaining consistency requires relentless follow-up, by spotting drift, closing gaps, re-teaching expectations, and celebrating bright spots. This applies across every aspect of school life: behaviour responses, lesson routines, marking cadence, corri</w:t>
      </w:r>
      <w:r>
        <w:t>dor duties, and assemblies. By maintaining alignment across people and places, leaders create a school environment that is predictable, fair, and high performing.</w:t>
      </w:r>
    </w:p>
    <w:tbl>
      <w:tblPr>
        <w:tblStyle w:val="a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B6EB4">
        <w:tc>
          <w:tcPr>
            <w:tcW w:w="9029" w:type="dxa"/>
            <w:shd w:val="clear" w:color="auto" w:fill="EFEFEF"/>
            <w:tcMar>
              <w:top w:w="100" w:type="dxa"/>
              <w:left w:w="100" w:type="dxa"/>
              <w:bottom w:w="100" w:type="dxa"/>
              <w:right w:w="100" w:type="dxa"/>
            </w:tcMar>
          </w:tcPr>
          <w:p w:rsidR="00BB6EB4" w:rsidRDefault="00F65C2E">
            <w:pPr>
              <w:widowControl w:val="0"/>
              <w:spacing w:after="100"/>
              <w:rPr>
                <w:b/>
                <w:bCs/>
              </w:rPr>
            </w:pPr>
            <w:r>
              <w:rPr>
                <w:b/>
                <w:bCs/>
              </w:rPr>
              <w:t>Process</w:t>
            </w:r>
          </w:p>
        </w:tc>
      </w:tr>
      <w:tr w:rsidR="00BB6EB4">
        <w:tc>
          <w:tcPr>
            <w:tcW w:w="9029" w:type="dxa"/>
            <w:shd w:val="clear" w:color="auto" w:fill="auto"/>
            <w:tcMar>
              <w:top w:w="100" w:type="dxa"/>
              <w:left w:w="100" w:type="dxa"/>
              <w:bottom w:w="100" w:type="dxa"/>
              <w:right w:w="100" w:type="dxa"/>
            </w:tcMar>
          </w:tcPr>
          <w:p w:rsidR="00BB6EB4" w:rsidRDefault="00F65C2E">
            <w:pPr>
              <w:widowControl w:val="0"/>
              <w:spacing w:after="100"/>
            </w:pPr>
            <w:r>
              <w:t xml:space="preserve">Identify the specific process or routine being monitored. This could be a behaviour </w:t>
            </w:r>
            <w:r>
              <w:t>response, lesson entry, marking cycle, or corridor duty. Be precise so that expectations are clear and measurable.</w:t>
            </w:r>
          </w:p>
        </w:tc>
      </w:tr>
      <w:tr w:rsidR="00BB6EB4">
        <w:tc>
          <w:tcPr>
            <w:tcW w:w="9029" w:type="dxa"/>
            <w:shd w:val="clear" w:color="auto" w:fill="EFEFEF"/>
            <w:tcMar>
              <w:top w:w="100" w:type="dxa"/>
              <w:left w:w="100" w:type="dxa"/>
              <w:bottom w:w="100" w:type="dxa"/>
              <w:right w:w="100" w:type="dxa"/>
            </w:tcMar>
          </w:tcPr>
          <w:p w:rsidR="00BB6EB4" w:rsidRDefault="00F65C2E">
            <w:pPr>
              <w:widowControl w:val="0"/>
              <w:spacing w:after="100"/>
              <w:rPr>
                <w:b/>
                <w:bCs/>
              </w:rPr>
            </w:pPr>
            <w:r>
              <w:rPr>
                <w:b/>
                <w:bCs/>
              </w:rPr>
              <w:t>Agreed Way (One Best Way)</w:t>
            </w:r>
          </w:p>
        </w:tc>
      </w:tr>
      <w:tr w:rsidR="00BB6EB4">
        <w:tc>
          <w:tcPr>
            <w:tcW w:w="9029" w:type="dxa"/>
            <w:shd w:val="clear" w:color="auto" w:fill="auto"/>
            <w:tcMar>
              <w:top w:w="100" w:type="dxa"/>
              <w:left w:w="100" w:type="dxa"/>
              <w:bottom w:w="100" w:type="dxa"/>
              <w:right w:w="100" w:type="dxa"/>
            </w:tcMar>
          </w:tcPr>
          <w:p w:rsidR="00BB6EB4" w:rsidRDefault="00F65C2E">
            <w:pPr>
              <w:widowControl w:val="0"/>
              <w:spacing w:after="100"/>
            </w:pPr>
            <w:r>
              <w:t>Define the agreed standard: the “one best way” that reflects school values and non-negotiables. This should be specific enough that anyone can recognise whether it is being met.</w:t>
            </w:r>
          </w:p>
        </w:tc>
      </w:tr>
      <w:tr w:rsidR="00BB6EB4">
        <w:tc>
          <w:tcPr>
            <w:tcW w:w="9029" w:type="dxa"/>
            <w:shd w:val="clear" w:color="auto" w:fill="EFEFEF"/>
            <w:tcMar>
              <w:top w:w="100" w:type="dxa"/>
              <w:left w:w="100" w:type="dxa"/>
              <w:bottom w:w="100" w:type="dxa"/>
              <w:right w:w="100" w:type="dxa"/>
            </w:tcMar>
          </w:tcPr>
          <w:p w:rsidR="00BB6EB4" w:rsidRDefault="00F65C2E">
            <w:pPr>
              <w:widowControl w:val="0"/>
              <w:spacing w:after="100"/>
              <w:rPr>
                <w:b/>
                <w:bCs/>
              </w:rPr>
            </w:pPr>
            <w:r>
              <w:rPr>
                <w:b/>
                <w:bCs/>
              </w:rPr>
              <w:t>Fidelity Sample</w:t>
            </w:r>
          </w:p>
        </w:tc>
      </w:tr>
      <w:tr w:rsidR="00BB6EB4">
        <w:tc>
          <w:tcPr>
            <w:tcW w:w="9029" w:type="dxa"/>
            <w:shd w:val="clear" w:color="auto" w:fill="auto"/>
            <w:tcMar>
              <w:top w:w="100" w:type="dxa"/>
              <w:left w:w="100" w:type="dxa"/>
              <w:bottom w:w="100" w:type="dxa"/>
              <w:right w:w="100" w:type="dxa"/>
            </w:tcMar>
          </w:tcPr>
          <w:p w:rsidR="00BB6EB4" w:rsidRDefault="00F65C2E">
            <w:pPr>
              <w:widowControl w:val="0"/>
              <w:spacing w:after="100"/>
            </w:pPr>
            <w:r>
              <w:t>Gather live evidence of how the process is being enacted acr</w:t>
            </w:r>
            <w:r>
              <w:t>oss teams or settings. This might include walkthroughs, book looks, or spot-checks. Sampling provides a reality check on whether the agreed way is happening consistently.</w:t>
            </w:r>
          </w:p>
        </w:tc>
      </w:tr>
      <w:tr w:rsidR="00BB6EB4">
        <w:tc>
          <w:tcPr>
            <w:tcW w:w="9029" w:type="dxa"/>
            <w:shd w:val="clear" w:color="auto" w:fill="EFEFEF"/>
            <w:tcMar>
              <w:top w:w="100" w:type="dxa"/>
              <w:left w:w="100" w:type="dxa"/>
              <w:bottom w:w="100" w:type="dxa"/>
              <w:right w:w="100" w:type="dxa"/>
            </w:tcMar>
          </w:tcPr>
          <w:p w:rsidR="00BB6EB4" w:rsidRDefault="00F65C2E">
            <w:pPr>
              <w:widowControl w:val="0"/>
              <w:spacing w:after="100"/>
              <w:rPr>
                <w:b/>
                <w:bCs/>
              </w:rPr>
            </w:pPr>
            <w:r>
              <w:rPr>
                <w:b/>
                <w:bCs/>
              </w:rPr>
              <w:t>Bright Spots</w:t>
            </w:r>
          </w:p>
        </w:tc>
      </w:tr>
      <w:tr w:rsidR="00BB6EB4">
        <w:tc>
          <w:tcPr>
            <w:tcW w:w="9029" w:type="dxa"/>
            <w:shd w:val="clear" w:color="auto" w:fill="auto"/>
            <w:tcMar>
              <w:top w:w="100" w:type="dxa"/>
              <w:left w:w="100" w:type="dxa"/>
              <w:bottom w:w="100" w:type="dxa"/>
              <w:right w:w="100" w:type="dxa"/>
            </w:tcMar>
          </w:tcPr>
          <w:p w:rsidR="00BB6EB4" w:rsidRDefault="00F65C2E">
            <w:pPr>
              <w:widowControl w:val="0"/>
              <w:spacing w:after="100"/>
            </w:pPr>
            <w:r>
              <w:t>Record examples of excellent practice. Share these widely to model wha</w:t>
            </w:r>
            <w:r>
              <w:t>t “done well” looks like and to build momentum.</w:t>
            </w:r>
          </w:p>
        </w:tc>
      </w:tr>
      <w:tr w:rsidR="00BB6EB4">
        <w:tc>
          <w:tcPr>
            <w:tcW w:w="9029" w:type="dxa"/>
            <w:shd w:val="clear" w:color="auto" w:fill="EFEFEF"/>
            <w:tcMar>
              <w:top w:w="100" w:type="dxa"/>
              <w:left w:w="100" w:type="dxa"/>
              <w:bottom w:w="100" w:type="dxa"/>
              <w:right w:w="100" w:type="dxa"/>
            </w:tcMar>
          </w:tcPr>
          <w:p w:rsidR="00BB6EB4" w:rsidRDefault="00F65C2E">
            <w:pPr>
              <w:widowControl w:val="0"/>
              <w:spacing w:after="100"/>
              <w:rPr>
                <w:b/>
                <w:bCs/>
              </w:rPr>
            </w:pPr>
            <w:r>
              <w:rPr>
                <w:b/>
                <w:bCs/>
              </w:rPr>
              <w:t>Gaps</w:t>
            </w:r>
          </w:p>
        </w:tc>
      </w:tr>
      <w:tr w:rsidR="00BB6EB4">
        <w:tc>
          <w:tcPr>
            <w:tcW w:w="9029" w:type="dxa"/>
            <w:shd w:val="clear" w:color="auto" w:fill="auto"/>
            <w:tcMar>
              <w:top w:w="100" w:type="dxa"/>
              <w:left w:w="100" w:type="dxa"/>
              <w:bottom w:w="100" w:type="dxa"/>
              <w:right w:w="100" w:type="dxa"/>
            </w:tcMar>
          </w:tcPr>
          <w:p w:rsidR="00BB6EB4" w:rsidRDefault="00F65C2E">
            <w:pPr>
              <w:widowControl w:val="0"/>
              <w:spacing w:after="100"/>
            </w:pPr>
            <w:r>
              <w:t xml:space="preserve">Note where the practice drifts from the agreed way. Be clear and objective; this is about identifying gaps to close, not criticising intent. </w:t>
            </w:r>
          </w:p>
        </w:tc>
      </w:tr>
      <w:tr w:rsidR="00BB6EB4">
        <w:tc>
          <w:tcPr>
            <w:tcW w:w="9029" w:type="dxa"/>
            <w:shd w:val="clear" w:color="auto" w:fill="EFEFEF"/>
            <w:tcMar>
              <w:top w:w="100" w:type="dxa"/>
              <w:left w:w="100" w:type="dxa"/>
              <w:bottom w:w="100" w:type="dxa"/>
              <w:right w:w="100" w:type="dxa"/>
            </w:tcMar>
          </w:tcPr>
          <w:p w:rsidR="00BB6EB4" w:rsidRDefault="00F65C2E">
            <w:pPr>
              <w:widowControl w:val="0"/>
              <w:spacing w:after="100"/>
              <w:rPr>
                <w:b/>
                <w:bCs/>
              </w:rPr>
            </w:pPr>
            <w:r>
              <w:rPr>
                <w:b/>
                <w:bCs/>
              </w:rPr>
              <w:t>Coaching Action</w:t>
            </w:r>
          </w:p>
        </w:tc>
      </w:tr>
      <w:tr w:rsidR="00BB6EB4">
        <w:tc>
          <w:tcPr>
            <w:tcW w:w="9029" w:type="dxa"/>
            <w:shd w:val="clear" w:color="auto" w:fill="auto"/>
            <w:tcMar>
              <w:top w:w="100" w:type="dxa"/>
              <w:left w:w="100" w:type="dxa"/>
              <w:bottom w:w="100" w:type="dxa"/>
              <w:right w:w="100" w:type="dxa"/>
            </w:tcMar>
          </w:tcPr>
          <w:p w:rsidR="00BB6EB4" w:rsidRDefault="00F65C2E">
            <w:pPr>
              <w:widowControl w:val="0"/>
              <w:spacing w:after="100"/>
            </w:pPr>
            <w:r>
              <w:t>Plan immediate support or re-teaching to close the gap. This may include coaching, modelling, or practising the routine again. Set a clear date to return and review whether the action has worked. Without this loop, drift is likely to continue.</w:t>
            </w:r>
          </w:p>
        </w:tc>
      </w:tr>
      <w:tr w:rsidR="00BB6EB4">
        <w:tc>
          <w:tcPr>
            <w:tcW w:w="9029"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rsidR="00BB6EB4" w:rsidRDefault="00F65C2E">
            <w:pPr>
              <w:widowControl w:val="0"/>
              <w:spacing w:after="100"/>
              <w:rPr>
                <w:b/>
                <w:bCs/>
              </w:rPr>
            </w:pPr>
            <w:r>
              <w:rPr>
                <w:b/>
                <w:bCs/>
              </w:rPr>
              <w:t xml:space="preserve">Reflection </w:t>
            </w:r>
            <w:r>
              <w:rPr>
                <w:b/>
                <w:bCs/>
              </w:rPr>
              <w:t>Prompts</w:t>
            </w:r>
          </w:p>
        </w:tc>
      </w:tr>
      <w:tr w:rsidR="00BB6EB4">
        <w:tc>
          <w:tcPr>
            <w:tcW w:w="9029" w:type="dxa"/>
            <w:shd w:val="clear" w:color="auto" w:fill="auto"/>
            <w:tcMar>
              <w:top w:w="100" w:type="dxa"/>
              <w:left w:w="100" w:type="dxa"/>
              <w:bottom w:w="100" w:type="dxa"/>
              <w:right w:w="100" w:type="dxa"/>
            </w:tcMar>
          </w:tcPr>
          <w:p w:rsidR="00BB6EB4" w:rsidRDefault="00F65C2E">
            <w:pPr>
              <w:widowControl w:val="0"/>
              <w:spacing w:after="100"/>
            </w:pPr>
            <w:r>
              <w:lastRenderedPageBreak/>
              <w:t>Where are we rewarding compliant intent over consistent execution? Which routines are slipping and why? How can we increase follow-up so that bright spots spread and gaps close quickly?</w:t>
            </w:r>
          </w:p>
        </w:tc>
      </w:tr>
    </w:tbl>
    <w:p w:rsidR="00BB6EB4" w:rsidRDefault="00BB6EB4">
      <w:pPr>
        <w:spacing w:after="100"/>
        <w:jc w:val="both"/>
      </w:pPr>
    </w:p>
    <w:p w:rsidR="00BB6EB4" w:rsidRDefault="00F65C2E">
      <w:pPr>
        <w:spacing w:after="100"/>
        <w:jc w:val="both"/>
      </w:pPr>
      <w:r>
        <w:br w:type="page"/>
      </w:r>
    </w:p>
    <w:p w:rsidR="00BB6EB4" w:rsidRDefault="00F65C2E">
      <w:pPr>
        <w:pStyle w:val="Heading2"/>
        <w:spacing w:before="0" w:line="276" w:lineRule="auto"/>
      </w:pPr>
      <w:bookmarkStart w:id="1" w:name="_ebbuq4l2a8wj" w:colFirst="0" w:colLast="0"/>
      <w:bookmarkEnd w:id="1"/>
      <w:r>
        <w:lastRenderedPageBreak/>
        <w:t xml:space="preserve">C4. Maintain </w:t>
      </w:r>
      <w:proofErr w:type="gramStart"/>
      <w:r>
        <w:t>Consistency :</w:t>
      </w:r>
      <w:proofErr w:type="gramEnd"/>
      <w:r>
        <w:t xml:space="preserve"> example toolkit</w:t>
      </w:r>
    </w:p>
    <w:p w:rsidR="00BB6EB4" w:rsidRDefault="00F65C2E">
      <w:pPr>
        <w:spacing w:after="100"/>
        <w:rPr>
          <w:b/>
          <w:bCs/>
        </w:rPr>
      </w:pPr>
      <w:r>
        <w:rPr>
          <w:b/>
          <w:bCs/>
        </w:rPr>
        <w:t>Role: Head of Department</w:t>
      </w:r>
    </w:p>
    <w:tbl>
      <w:tblPr>
        <w:tblStyle w:val="a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B6EB4">
        <w:tc>
          <w:tcPr>
            <w:tcW w:w="9029" w:type="dxa"/>
            <w:shd w:val="clear" w:color="auto" w:fill="EFEFEF"/>
            <w:tcMar>
              <w:top w:w="100" w:type="dxa"/>
              <w:left w:w="100" w:type="dxa"/>
              <w:bottom w:w="100" w:type="dxa"/>
              <w:right w:w="100" w:type="dxa"/>
            </w:tcMar>
          </w:tcPr>
          <w:p w:rsidR="00BB6EB4" w:rsidRDefault="00F65C2E">
            <w:pPr>
              <w:widowControl w:val="0"/>
              <w:spacing w:after="100"/>
              <w:rPr>
                <w:b/>
                <w:bCs/>
              </w:rPr>
            </w:pPr>
            <w:r>
              <w:rPr>
                <w:b/>
                <w:bCs/>
              </w:rPr>
              <w:t>Process</w:t>
            </w:r>
          </w:p>
        </w:tc>
      </w:tr>
      <w:tr w:rsidR="00BB6EB4">
        <w:tc>
          <w:tcPr>
            <w:tcW w:w="9029" w:type="dxa"/>
            <w:shd w:val="clear" w:color="auto" w:fill="auto"/>
            <w:tcMar>
              <w:top w:w="100" w:type="dxa"/>
              <w:left w:w="100" w:type="dxa"/>
              <w:bottom w:w="100" w:type="dxa"/>
              <w:right w:w="100" w:type="dxa"/>
            </w:tcMar>
          </w:tcPr>
          <w:p w:rsidR="00BB6EB4" w:rsidRDefault="00F65C2E">
            <w:pPr>
              <w:widowControl w:val="0"/>
              <w:spacing w:after="100"/>
            </w:pPr>
            <w:r>
              <w:t>Book scrutiny in Year 8 English.</w:t>
            </w:r>
          </w:p>
        </w:tc>
      </w:tr>
      <w:tr w:rsidR="00BB6EB4">
        <w:tc>
          <w:tcPr>
            <w:tcW w:w="9029" w:type="dxa"/>
            <w:shd w:val="clear" w:color="auto" w:fill="EFEFEF"/>
            <w:tcMar>
              <w:top w:w="100" w:type="dxa"/>
              <w:left w:w="100" w:type="dxa"/>
              <w:bottom w:w="100" w:type="dxa"/>
              <w:right w:w="100" w:type="dxa"/>
            </w:tcMar>
          </w:tcPr>
          <w:p w:rsidR="00BB6EB4" w:rsidRDefault="00F65C2E">
            <w:pPr>
              <w:widowControl w:val="0"/>
              <w:spacing w:after="100"/>
              <w:rPr>
                <w:b/>
                <w:bCs/>
              </w:rPr>
            </w:pPr>
            <w:r>
              <w:rPr>
                <w:b/>
                <w:bCs/>
              </w:rPr>
              <w:t>Agreed Way (One Best Way)</w:t>
            </w:r>
          </w:p>
        </w:tc>
      </w:tr>
      <w:tr w:rsidR="00BB6EB4">
        <w:tc>
          <w:tcPr>
            <w:tcW w:w="9029" w:type="dxa"/>
            <w:shd w:val="clear" w:color="auto" w:fill="auto"/>
            <w:tcMar>
              <w:top w:w="100" w:type="dxa"/>
              <w:left w:w="100" w:type="dxa"/>
              <w:bottom w:w="100" w:type="dxa"/>
              <w:right w:w="100" w:type="dxa"/>
            </w:tcMar>
          </w:tcPr>
          <w:p w:rsidR="00BB6EB4" w:rsidRDefault="00F65C2E">
            <w:pPr>
              <w:widowControl w:val="0"/>
              <w:spacing w:after="100"/>
            </w:pPr>
            <w:r>
              <w:t>Marking includes success criteria ticked, one improvement target, and evidence of student response within two lessons.</w:t>
            </w:r>
          </w:p>
        </w:tc>
      </w:tr>
      <w:tr w:rsidR="00BB6EB4">
        <w:tc>
          <w:tcPr>
            <w:tcW w:w="9029" w:type="dxa"/>
            <w:shd w:val="clear" w:color="auto" w:fill="EFEFEF"/>
            <w:tcMar>
              <w:top w:w="100" w:type="dxa"/>
              <w:left w:w="100" w:type="dxa"/>
              <w:bottom w:w="100" w:type="dxa"/>
              <w:right w:w="100" w:type="dxa"/>
            </w:tcMar>
          </w:tcPr>
          <w:p w:rsidR="00BB6EB4" w:rsidRDefault="00F65C2E">
            <w:pPr>
              <w:widowControl w:val="0"/>
              <w:spacing w:after="100"/>
              <w:rPr>
                <w:b/>
                <w:bCs/>
              </w:rPr>
            </w:pPr>
            <w:r>
              <w:rPr>
                <w:b/>
                <w:bCs/>
              </w:rPr>
              <w:t>Fidelity Sample</w:t>
            </w:r>
          </w:p>
        </w:tc>
      </w:tr>
      <w:tr w:rsidR="00BB6EB4">
        <w:tc>
          <w:tcPr>
            <w:tcW w:w="9029" w:type="dxa"/>
            <w:shd w:val="clear" w:color="auto" w:fill="auto"/>
            <w:tcMar>
              <w:top w:w="100" w:type="dxa"/>
              <w:left w:w="100" w:type="dxa"/>
              <w:bottom w:w="100" w:type="dxa"/>
              <w:right w:w="100" w:type="dxa"/>
            </w:tcMar>
          </w:tcPr>
          <w:p w:rsidR="00BB6EB4" w:rsidRDefault="00F65C2E">
            <w:pPr>
              <w:widowControl w:val="0"/>
              <w:spacing w:after="100"/>
            </w:pPr>
            <w:r>
              <w:t>Spot-checks across five classes.</w:t>
            </w:r>
          </w:p>
        </w:tc>
      </w:tr>
      <w:tr w:rsidR="00BB6EB4">
        <w:tc>
          <w:tcPr>
            <w:tcW w:w="9029" w:type="dxa"/>
            <w:shd w:val="clear" w:color="auto" w:fill="EFEFEF"/>
            <w:tcMar>
              <w:top w:w="100" w:type="dxa"/>
              <w:left w:w="100" w:type="dxa"/>
              <w:bottom w:w="100" w:type="dxa"/>
              <w:right w:w="100" w:type="dxa"/>
            </w:tcMar>
          </w:tcPr>
          <w:p w:rsidR="00BB6EB4" w:rsidRDefault="00F65C2E">
            <w:pPr>
              <w:widowControl w:val="0"/>
              <w:spacing w:after="100"/>
              <w:rPr>
                <w:b/>
                <w:bCs/>
              </w:rPr>
            </w:pPr>
            <w:r>
              <w:rPr>
                <w:b/>
                <w:bCs/>
              </w:rPr>
              <w:t>Bright Spots</w:t>
            </w:r>
          </w:p>
        </w:tc>
      </w:tr>
      <w:tr w:rsidR="00BB6EB4">
        <w:tc>
          <w:tcPr>
            <w:tcW w:w="9029" w:type="dxa"/>
            <w:shd w:val="clear" w:color="auto" w:fill="auto"/>
            <w:tcMar>
              <w:top w:w="100" w:type="dxa"/>
              <w:left w:w="100" w:type="dxa"/>
              <w:bottom w:w="100" w:type="dxa"/>
              <w:right w:w="100" w:type="dxa"/>
            </w:tcMar>
          </w:tcPr>
          <w:p w:rsidR="00BB6EB4" w:rsidRDefault="00F65C2E">
            <w:pPr>
              <w:widowControl w:val="0"/>
              <w:spacing w:after="100"/>
            </w:pPr>
            <w:r>
              <w:t>Two teachers had exemplary use of improvement targets and student responses that showed clear progress.</w:t>
            </w:r>
          </w:p>
        </w:tc>
      </w:tr>
      <w:tr w:rsidR="00BB6EB4">
        <w:tc>
          <w:tcPr>
            <w:tcW w:w="9029" w:type="dxa"/>
            <w:shd w:val="clear" w:color="auto" w:fill="EFEFEF"/>
            <w:tcMar>
              <w:top w:w="100" w:type="dxa"/>
              <w:left w:w="100" w:type="dxa"/>
              <w:bottom w:w="100" w:type="dxa"/>
              <w:right w:w="100" w:type="dxa"/>
            </w:tcMar>
          </w:tcPr>
          <w:p w:rsidR="00BB6EB4" w:rsidRDefault="00F65C2E">
            <w:pPr>
              <w:widowControl w:val="0"/>
              <w:spacing w:after="100"/>
              <w:rPr>
                <w:b/>
                <w:bCs/>
              </w:rPr>
            </w:pPr>
            <w:r>
              <w:rPr>
                <w:b/>
                <w:bCs/>
              </w:rPr>
              <w:t>Gaps</w:t>
            </w:r>
          </w:p>
        </w:tc>
      </w:tr>
      <w:tr w:rsidR="00BB6EB4">
        <w:tc>
          <w:tcPr>
            <w:tcW w:w="9029" w:type="dxa"/>
            <w:shd w:val="clear" w:color="auto" w:fill="auto"/>
            <w:tcMar>
              <w:top w:w="100" w:type="dxa"/>
              <w:left w:w="100" w:type="dxa"/>
              <w:bottom w:w="100" w:type="dxa"/>
              <w:right w:w="100" w:type="dxa"/>
            </w:tcMar>
          </w:tcPr>
          <w:p w:rsidR="00BB6EB4" w:rsidRDefault="00F65C2E">
            <w:pPr>
              <w:widowControl w:val="0"/>
              <w:spacing w:after="100"/>
            </w:pPr>
            <w:r>
              <w:t>Across the department, the two-lesson turnaround was slipping.</w:t>
            </w:r>
          </w:p>
        </w:tc>
      </w:tr>
      <w:tr w:rsidR="00BB6EB4">
        <w:tc>
          <w:tcPr>
            <w:tcW w:w="9029" w:type="dxa"/>
            <w:shd w:val="clear" w:color="auto" w:fill="EFEFEF"/>
            <w:tcMar>
              <w:top w:w="100" w:type="dxa"/>
              <w:left w:w="100" w:type="dxa"/>
              <w:bottom w:w="100" w:type="dxa"/>
              <w:right w:w="100" w:type="dxa"/>
            </w:tcMar>
          </w:tcPr>
          <w:p w:rsidR="00BB6EB4" w:rsidRDefault="00F65C2E">
            <w:pPr>
              <w:widowControl w:val="0"/>
              <w:spacing w:after="100"/>
              <w:rPr>
                <w:b/>
                <w:bCs/>
              </w:rPr>
            </w:pPr>
            <w:r>
              <w:rPr>
                <w:b/>
                <w:bCs/>
              </w:rPr>
              <w:t>Coaching Action</w:t>
            </w:r>
          </w:p>
        </w:tc>
      </w:tr>
      <w:tr w:rsidR="00BB6EB4">
        <w:tc>
          <w:tcPr>
            <w:tcW w:w="9029" w:type="dxa"/>
            <w:shd w:val="clear" w:color="auto" w:fill="auto"/>
            <w:tcMar>
              <w:top w:w="100" w:type="dxa"/>
              <w:left w:w="100" w:type="dxa"/>
              <w:bottom w:w="100" w:type="dxa"/>
              <w:right w:w="100" w:type="dxa"/>
            </w:tcMar>
          </w:tcPr>
          <w:p w:rsidR="00BB6EB4" w:rsidRDefault="00F65C2E">
            <w:pPr>
              <w:widowControl w:val="0"/>
              <w:spacing w:after="100"/>
            </w:pPr>
            <w:r>
              <w:t>I reviewed the timeline in briefing, modelled efficient feedback routines, and checked again after a fortnight. Turnaround compliance rose from 60 percent to 95 percent.</w:t>
            </w:r>
          </w:p>
        </w:tc>
      </w:tr>
      <w:tr w:rsidR="00BB6EB4">
        <w:tc>
          <w:tcPr>
            <w:tcW w:w="9029"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rsidR="00BB6EB4" w:rsidRDefault="00F65C2E">
            <w:pPr>
              <w:widowControl w:val="0"/>
              <w:spacing w:after="100"/>
              <w:rPr>
                <w:b/>
                <w:bCs/>
              </w:rPr>
            </w:pPr>
            <w:r>
              <w:rPr>
                <w:b/>
                <w:bCs/>
              </w:rPr>
              <w:t>Reflection Prompts</w:t>
            </w:r>
          </w:p>
        </w:tc>
      </w:tr>
      <w:tr w:rsidR="00BB6EB4">
        <w:tc>
          <w:tcPr>
            <w:tcW w:w="9029" w:type="dxa"/>
            <w:shd w:val="clear" w:color="auto" w:fill="auto"/>
            <w:tcMar>
              <w:top w:w="100" w:type="dxa"/>
              <w:left w:w="100" w:type="dxa"/>
              <w:bottom w:w="100" w:type="dxa"/>
              <w:right w:w="100" w:type="dxa"/>
            </w:tcMar>
          </w:tcPr>
          <w:p w:rsidR="00BB6EB4" w:rsidRDefault="00F65C2E">
            <w:pPr>
              <w:widowControl w:val="0"/>
              <w:spacing w:after="100"/>
            </w:pPr>
            <w:r>
              <w:t>Where are we rewarding compliant intent over consistent execution? Which routines are slipping and why? How can we increase follow-up so that bright spots spread and gaps close quickly?</w:t>
            </w:r>
          </w:p>
        </w:tc>
      </w:tr>
    </w:tbl>
    <w:p w:rsidR="00BB6EB4" w:rsidRDefault="00BB6EB4">
      <w:pPr>
        <w:spacing w:after="100"/>
        <w:jc w:val="both"/>
      </w:pPr>
    </w:p>
    <w:p w:rsidR="00BB6EB4" w:rsidRDefault="00BB6EB4">
      <w:pPr>
        <w:spacing w:after="100"/>
        <w:jc w:val="both"/>
      </w:pPr>
      <w:bookmarkStart w:id="2" w:name="_GoBack"/>
      <w:bookmarkEnd w:id="2"/>
    </w:p>
    <w:sectPr w:rsidR="00BB6EB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F8D6251-CADE-4DBF-8568-40093E1AFEAF}"/>
    <w:embedBold r:id="rId2" w:fontKey="{869F12DC-32FE-4FAA-822A-0B1A2D5E66E2}"/>
    <w:embedItalic r:id="rId3" w:fontKey="{60877A7D-652B-439D-9429-D9F16BEFF51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D700EA3-E25D-4F39-A647-9AA26067CA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5B14"/>
    <w:multiLevelType w:val="multilevel"/>
    <w:tmpl w:val="A5E49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287A50"/>
    <w:multiLevelType w:val="multilevel"/>
    <w:tmpl w:val="45402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C32315"/>
    <w:multiLevelType w:val="multilevel"/>
    <w:tmpl w:val="50727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B02C29"/>
    <w:multiLevelType w:val="multilevel"/>
    <w:tmpl w:val="C7DE4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514358"/>
    <w:multiLevelType w:val="multilevel"/>
    <w:tmpl w:val="7542D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ED100A"/>
    <w:multiLevelType w:val="multilevel"/>
    <w:tmpl w:val="0B4CB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E66725"/>
    <w:multiLevelType w:val="multilevel"/>
    <w:tmpl w:val="6EB23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785800"/>
    <w:multiLevelType w:val="multilevel"/>
    <w:tmpl w:val="867A9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DA1168"/>
    <w:multiLevelType w:val="multilevel"/>
    <w:tmpl w:val="E09A2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82733F"/>
    <w:multiLevelType w:val="multilevel"/>
    <w:tmpl w:val="F4481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5F7263"/>
    <w:multiLevelType w:val="multilevel"/>
    <w:tmpl w:val="38A45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EB2028"/>
    <w:multiLevelType w:val="multilevel"/>
    <w:tmpl w:val="BA12D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00F2407"/>
    <w:multiLevelType w:val="multilevel"/>
    <w:tmpl w:val="B58C6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EF6BC3"/>
    <w:multiLevelType w:val="multilevel"/>
    <w:tmpl w:val="EAEC0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4943B24"/>
    <w:multiLevelType w:val="multilevel"/>
    <w:tmpl w:val="0CA2E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D12103D"/>
    <w:multiLevelType w:val="multilevel"/>
    <w:tmpl w:val="5D38C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9"/>
  </w:num>
  <w:num w:numId="4">
    <w:abstractNumId w:val="5"/>
  </w:num>
  <w:num w:numId="5">
    <w:abstractNumId w:val="3"/>
  </w:num>
  <w:num w:numId="6">
    <w:abstractNumId w:val="2"/>
  </w:num>
  <w:num w:numId="7">
    <w:abstractNumId w:val="14"/>
  </w:num>
  <w:num w:numId="8">
    <w:abstractNumId w:val="11"/>
  </w:num>
  <w:num w:numId="9">
    <w:abstractNumId w:val="7"/>
  </w:num>
  <w:num w:numId="10">
    <w:abstractNumId w:val="12"/>
  </w:num>
  <w:num w:numId="11">
    <w:abstractNumId w:val="10"/>
  </w:num>
  <w:num w:numId="12">
    <w:abstractNumId w:val="13"/>
  </w:num>
  <w:num w:numId="13">
    <w:abstractNumId w:val="4"/>
  </w:num>
  <w:num w:numId="14">
    <w:abstractNumId w:val="15"/>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EB4"/>
    <w:rsid w:val="00BB6EB4"/>
    <w:rsid w:val="00F65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BB37B"/>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450</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2025-11-24T11:03:00Z</dcterms:created>
  <dcterms:modified xsi:type="dcterms:W3CDTF">2025-11-24T11:03:00Z</dcterms:modified>
</cp:coreProperties>
</file>